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D" w:rsidRPr="00F75A5D" w:rsidRDefault="00F75A5D" w:rsidP="00F75A5D">
      <w:pPr>
        <w:jc w:val="center"/>
        <w:rPr>
          <w:sz w:val="36"/>
        </w:rPr>
      </w:pPr>
      <w:bookmarkStart w:id="0" w:name="_GoBack"/>
      <w:bookmarkEnd w:id="0"/>
      <w:r w:rsidRPr="00F75A5D">
        <w:rPr>
          <w:sz w:val="36"/>
        </w:rPr>
        <w:t xml:space="preserve">The </w:t>
      </w:r>
      <w:r w:rsidR="005B7EDB" w:rsidRPr="00F75A5D">
        <w:rPr>
          <w:sz w:val="36"/>
        </w:rPr>
        <w:t>Federal Reserve Bank of Philadelphia</w:t>
      </w:r>
    </w:p>
    <w:p w:rsidR="00043CA7" w:rsidRPr="00F75A5D" w:rsidRDefault="00043CA7" w:rsidP="00F75A5D">
      <w:pPr>
        <w:jc w:val="center"/>
        <w:rPr>
          <w:sz w:val="32"/>
        </w:rPr>
      </w:pPr>
      <w:r>
        <w:t xml:space="preserve">How </w:t>
      </w:r>
      <w:r w:rsidR="00F75A5D">
        <w:t>to</w:t>
      </w:r>
      <w:r w:rsidR="00967F45">
        <w:t xml:space="preserve"> Guide</w:t>
      </w:r>
      <w:r>
        <w:t xml:space="preserve"> for completing Borrowing Documents</w:t>
      </w:r>
    </w:p>
    <w:p w:rsidR="00946EF2" w:rsidRDefault="00F75A5D">
      <w:r w:rsidRPr="00F75A5D">
        <w:t>Please note</w:t>
      </w:r>
      <w:r>
        <w:t xml:space="preserve"> that </w:t>
      </w:r>
      <w:r w:rsidRPr="00F75A5D">
        <w:rPr>
          <w:b/>
          <w:i/>
        </w:rPr>
        <w:t>all</w:t>
      </w:r>
      <w:r w:rsidRPr="00F75A5D">
        <w:rPr>
          <w:i/>
        </w:rPr>
        <w:t xml:space="preserve"> original</w:t>
      </w:r>
      <w:r>
        <w:t xml:space="preserve"> copies are requi</w:t>
      </w:r>
      <w:r w:rsidR="003548DE">
        <w:t>red for borrowing documentation.  The d</w:t>
      </w:r>
      <w:r w:rsidR="00DF0788">
        <w:t>ocuments</w:t>
      </w:r>
      <w:r w:rsidR="003548DE">
        <w:t xml:space="preserve"> listed below are found in</w:t>
      </w:r>
      <w:r w:rsidR="002F29D1">
        <w:t xml:space="preserve"> Operating Circular No. </w:t>
      </w:r>
      <w:r w:rsidR="008B53A8">
        <w:t>10, Lending (OC-10)</w:t>
      </w:r>
      <w:r w:rsidR="003548DE">
        <w:t>,</w:t>
      </w:r>
      <w:r w:rsidR="00946EF2">
        <w:t xml:space="preserve"> </w:t>
      </w:r>
      <w:r w:rsidR="003E3434">
        <w:t xml:space="preserve">available at </w:t>
      </w:r>
      <w:hyperlink r:id="rId8" w:history="1">
        <w:r w:rsidR="003E3434" w:rsidRPr="00A369C5">
          <w:rPr>
            <w:rStyle w:val="Hyperlink"/>
          </w:rPr>
          <w:t>www.frbdiscountwindow.org</w:t>
        </w:r>
      </w:hyperlink>
      <w:r w:rsidR="008B53A8">
        <w:t xml:space="preserve">. </w:t>
      </w:r>
      <w:r w:rsidR="0086713D">
        <w:t xml:space="preserve"> </w:t>
      </w:r>
      <w:r w:rsidR="008B53A8">
        <w:t>Documents</w:t>
      </w:r>
      <w:r w:rsidR="00FC537D">
        <w:t xml:space="preserve"> 1, 2, and 3 are</w:t>
      </w:r>
      <w:r w:rsidR="00FC537D" w:rsidRPr="00F36941">
        <w:rPr>
          <w:b/>
          <w:i/>
        </w:rPr>
        <w:t xml:space="preserve"> required</w:t>
      </w:r>
      <w:r w:rsidR="00967F45">
        <w:t xml:space="preserve"> by the </w:t>
      </w:r>
      <w:r w:rsidR="00FC537D">
        <w:t>Federal Reserve Bank</w:t>
      </w:r>
      <w:r w:rsidR="00967F45">
        <w:t xml:space="preserve"> of </w:t>
      </w:r>
      <w:r w:rsidR="00A87F87">
        <w:t>Philadelphia to</w:t>
      </w:r>
      <w:r w:rsidR="00FC537D">
        <w:t xml:space="preserve"> </w:t>
      </w:r>
      <w:r w:rsidR="003548DE">
        <w:t>gain access to the</w:t>
      </w:r>
      <w:r w:rsidR="00946EF2">
        <w:t xml:space="preserve"> Discount Window.</w:t>
      </w:r>
      <w:r w:rsidR="006F3EA6">
        <w:t xml:space="preserve"> Document 4 is only required for Borrower-In-Custody (BIC) participants</w:t>
      </w:r>
      <w:r w:rsidR="00095031">
        <w:t>;</w:t>
      </w:r>
      <w:r w:rsidR="006F3EA6">
        <w:t xml:space="preserve"> however</w:t>
      </w:r>
      <w:r w:rsidR="00095031">
        <w:t>,</w:t>
      </w:r>
      <w:r w:rsidR="006F3EA6">
        <w:t xml:space="preserve"> we recommend depository institutions review and consider </w:t>
      </w:r>
      <w:r w:rsidR="00095031">
        <w:t>submission.</w:t>
      </w:r>
      <w:r w:rsidR="006F3EA6">
        <w:t xml:space="preserve"> </w:t>
      </w:r>
    </w:p>
    <w:p w:rsidR="00C53B44" w:rsidRPr="00C53B44" w:rsidRDefault="00946EF2" w:rsidP="00C53B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22B94">
        <w:rPr>
          <w:rStyle w:val="IntenseEmphasis"/>
        </w:rPr>
        <w:t>Letter of Agreement</w:t>
      </w:r>
      <w:r w:rsidR="00DF0788" w:rsidRPr="00CC4C12">
        <w:rPr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1B88" w:rsidRPr="00CC4C12">
        <w:rPr>
          <w:sz w:val="20"/>
          <w:szCs w:val="20"/>
        </w:rPr>
        <w:t xml:space="preserve">– </w:t>
      </w:r>
      <w:r w:rsidRPr="00CC4C12">
        <w:rPr>
          <w:sz w:val="20"/>
          <w:szCs w:val="20"/>
        </w:rPr>
        <w:t>The letter of Agr</w:t>
      </w:r>
      <w:r w:rsidR="0084655A" w:rsidRPr="00CC4C12">
        <w:rPr>
          <w:sz w:val="20"/>
          <w:szCs w:val="20"/>
        </w:rPr>
        <w:t>eement evidences an institution’s</w:t>
      </w:r>
      <w:r w:rsidRPr="00CC4C12">
        <w:rPr>
          <w:sz w:val="20"/>
          <w:szCs w:val="20"/>
        </w:rPr>
        <w:t xml:space="preserve"> acceptance of the terms and conditions in Oper</w:t>
      </w:r>
      <w:r w:rsidR="00967F45">
        <w:rPr>
          <w:sz w:val="20"/>
          <w:szCs w:val="20"/>
        </w:rPr>
        <w:t>ating Circular No. 10. T</w:t>
      </w:r>
      <w:r w:rsidRPr="00CC4C12">
        <w:rPr>
          <w:sz w:val="20"/>
          <w:szCs w:val="20"/>
        </w:rPr>
        <w:t>he Letter of Agreement</w:t>
      </w:r>
      <w:r w:rsidR="005451E4">
        <w:rPr>
          <w:sz w:val="20"/>
          <w:szCs w:val="20"/>
        </w:rPr>
        <w:t xml:space="preserve"> should be</w:t>
      </w:r>
      <w:r w:rsidR="00357CF9">
        <w:rPr>
          <w:sz w:val="20"/>
          <w:szCs w:val="20"/>
        </w:rPr>
        <w:t xml:space="preserve"> </w:t>
      </w:r>
      <w:r w:rsidR="003548DE">
        <w:rPr>
          <w:sz w:val="20"/>
          <w:szCs w:val="20"/>
        </w:rPr>
        <w:t xml:space="preserve">sent on </w:t>
      </w:r>
      <w:r w:rsidRPr="00CC4C12">
        <w:rPr>
          <w:sz w:val="20"/>
          <w:szCs w:val="20"/>
        </w:rPr>
        <w:t xml:space="preserve">company letterhead </w:t>
      </w:r>
      <w:r w:rsidR="0018478A" w:rsidRPr="00CC4C12">
        <w:rPr>
          <w:sz w:val="20"/>
          <w:szCs w:val="20"/>
        </w:rPr>
        <w:t>and</w:t>
      </w:r>
      <w:r w:rsidR="00A87F87">
        <w:rPr>
          <w:sz w:val="20"/>
          <w:szCs w:val="20"/>
        </w:rPr>
        <w:t xml:space="preserve"> </w:t>
      </w:r>
      <w:r w:rsidR="0018478A" w:rsidRPr="00CC4C12">
        <w:rPr>
          <w:sz w:val="20"/>
          <w:szCs w:val="20"/>
        </w:rPr>
        <w:t xml:space="preserve">signed by an authorized officer appointed on the Authorizing Resolution for Borrowers </w:t>
      </w:r>
      <w:r w:rsidR="002F29D1" w:rsidRPr="00CC4C12">
        <w:rPr>
          <w:sz w:val="20"/>
          <w:szCs w:val="20"/>
        </w:rPr>
        <w:t>(paragraph 2).</w:t>
      </w:r>
    </w:p>
    <w:p w:rsidR="00C53B44" w:rsidRPr="00C53B44" w:rsidRDefault="00024C19" w:rsidP="00C53B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22B94">
        <w:rPr>
          <w:rStyle w:val="IntenseEmphasis"/>
        </w:rPr>
        <w:t>Form of Certificate</w:t>
      </w:r>
      <w:r w:rsidR="00373333" w:rsidRPr="00922B94">
        <w:rPr>
          <w:rStyle w:val="IntenseEmphasis"/>
        </w:rPr>
        <w:t xml:space="preserve"> (Schedule A) </w:t>
      </w:r>
      <w:r w:rsidR="003B1B88" w:rsidRPr="003C767E">
        <w:rPr>
          <w:rStyle w:val="IntenseEmphasis"/>
          <w:color w:val="auto"/>
        </w:rPr>
        <w:t>–</w:t>
      </w:r>
      <w:r w:rsidRPr="003C767E">
        <w:rPr>
          <w:sz w:val="20"/>
          <w:szCs w:val="20"/>
        </w:rPr>
        <w:t xml:space="preserve"> </w:t>
      </w:r>
      <w:r w:rsidR="00373333" w:rsidRPr="00CC4C12">
        <w:rPr>
          <w:sz w:val="20"/>
          <w:szCs w:val="20"/>
        </w:rPr>
        <w:t>This document should be signed by a person in paragraph 2 of the Authorizing Resolution for Borrowers.  This Certificate will provide the Federal Reserve Bank the information needed to make an effective UCC-1 financing statement.  Please also attach a cop</w:t>
      </w:r>
      <w:r w:rsidR="00967F45">
        <w:rPr>
          <w:sz w:val="20"/>
          <w:szCs w:val="20"/>
        </w:rPr>
        <w:t>y</w:t>
      </w:r>
      <w:r w:rsidR="00373333" w:rsidRPr="00CC4C12">
        <w:rPr>
          <w:sz w:val="20"/>
          <w:szCs w:val="20"/>
        </w:rPr>
        <w:t xml:space="preserve"> of the most recent version of your institution’s organizational document </w:t>
      </w:r>
      <w:r w:rsidR="00656530" w:rsidRPr="00CC4C12">
        <w:rPr>
          <w:sz w:val="20"/>
          <w:szCs w:val="20"/>
        </w:rPr>
        <w:t>(</w:t>
      </w:r>
      <w:r w:rsidR="00FC537D" w:rsidRPr="00CC4C12">
        <w:rPr>
          <w:sz w:val="20"/>
          <w:szCs w:val="20"/>
        </w:rPr>
        <w:t xml:space="preserve">i.e., </w:t>
      </w:r>
      <w:r w:rsidR="00656530" w:rsidRPr="00CC4C12">
        <w:rPr>
          <w:sz w:val="20"/>
          <w:szCs w:val="20"/>
        </w:rPr>
        <w:t>A</w:t>
      </w:r>
      <w:r w:rsidR="00373333" w:rsidRPr="00CC4C12">
        <w:rPr>
          <w:sz w:val="20"/>
          <w:szCs w:val="20"/>
        </w:rPr>
        <w:t xml:space="preserve">rticles of </w:t>
      </w:r>
      <w:r w:rsidR="00656530" w:rsidRPr="00CC4C12">
        <w:rPr>
          <w:sz w:val="20"/>
          <w:szCs w:val="20"/>
        </w:rPr>
        <w:t>I</w:t>
      </w:r>
      <w:r w:rsidR="00373333" w:rsidRPr="00CC4C12">
        <w:rPr>
          <w:sz w:val="20"/>
          <w:szCs w:val="20"/>
        </w:rPr>
        <w:t>ncorporation</w:t>
      </w:r>
      <w:r w:rsidR="00FC537D" w:rsidRPr="00CC4C12">
        <w:rPr>
          <w:sz w:val="20"/>
          <w:szCs w:val="20"/>
        </w:rPr>
        <w:t>). The date in paragraph 1 should be the same date as</w:t>
      </w:r>
      <w:r w:rsidR="00967F45">
        <w:rPr>
          <w:sz w:val="20"/>
          <w:szCs w:val="20"/>
        </w:rPr>
        <w:t xml:space="preserve"> the</w:t>
      </w:r>
      <w:r w:rsidR="00FC537D" w:rsidRPr="00CC4C12">
        <w:rPr>
          <w:sz w:val="20"/>
          <w:szCs w:val="20"/>
        </w:rPr>
        <w:t xml:space="preserve"> current Letter of Agreement. </w:t>
      </w:r>
    </w:p>
    <w:p w:rsidR="00686B4A" w:rsidRPr="00C53B44" w:rsidRDefault="00024C19" w:rsidP="00C53B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22B94">
        <w:rPr>
          <w:rStyle w:val="IntenseEmphasis"/>
        </w:rPr>
        <w:t>Authorizing Resolution</w:t>
      </w:r>
      <w:r w:rsidR="005744BC">
        <w:rPr>
          <w:rStyle w:val="IntenseEmphasis"/>
        </w:rPr>
        <w:t>s</w:t>
      </w:r>
      <w:r w:rsidRPr="00922B94">
        <w:rPr>
          <w:rStyle w:val="IntenseEmphasis"/>
        </w:rPr>
        <w:t xml:space="preserve"> for Borrowers</w:t>
      </w:r>
      <w:r w:rsidR="0084655A" w:rsidRPr="00CC4C12">
        <w:rPr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1B88" w:rsidRPr="00CC4C12">
        <w:rPr>
          <w:sz w:val="20"/>
          <w:szCs w:val="20"/>
        </w:rPr>
        <w:t>–</w:t>
      </w:r>
      <w:r w:rsidR="00C53B44">
        <w:rPr>
          <w:sz w:val="20"/>
          <w:szCs w:val="20"/>
        </w:rPr>
        <w:t xml:space="preserve"> </w:t>
      </w:r>
      <w:r w:rsidR="0084655A" w:rsidRPr="00CC4C12">
        <w:rPr>
          <w:sz w:val="20"/>
          <w:szCs w:val="20"/>
        </w:rPr>
        <w:t xml:space="preserve">The Authorizing Resolution for Borrowers evidences an institution’s authorization to borrow from and pledge assets to a Reserve Bank. </w:t>
      </w:r>
      <w:r w:rsidR="00373333" w:rsidRPr="00CC4C12">
        <w:rPr>
          <w:sz w:val="20"/>
          <w:szCs w:val="20"/>
        </w:rPr>
        <w:t>This</w:t>
      </w:r>
      <w:r w:rsidR="002F29D1" w:rsidRPr="00CC4C12">
        <w:rPr>
          <w:sz w:val="20"/>
          <w:szCs w:val="20"/>
        </w:rPr>
        <w:t xml:space="preserve"> document should be signed by a certifying official that is </w:t>
      </w:r>
      <w:r w:rsidR="002F29D1" w:rsidRPr="00CC4C12">
        <w:rPr>
          <w:i/>
          <w:sz w:val="20"/>
          <w:szCs w:val="20"/>
        </w:rPr>
        <w:t xml:space="preserve">not </w:t>
      </w:r>
      <w:r w:rsidR="002F29D1" w:rsidRPr="00CC4C12">
        <w:rPr>
          <w:sz w:val="20"/>
          <w:szCs w:val="20"/>
        </w:rPr>
        <w:t>authorized in paragraph 2 on the resolution.</w:t>
      </w:r>
      <w:r w:rsidR="002F29D1" w:rsidRPr="00C53B44">
        <w:rPr>
          <w:sz w:val="20"/>
          <w:szCs w:val="20"/>
        </w:rPr>
        <w:t xml:space="preserve">  </w:t>
      </w:r>
    </w:p>
    <w:p w:rsidR="00C53B44" w:rsidRDefault="008B53A8" w:rsidP="00C53B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22B94">
        <w:rPr>
          <w:rStyle w:val="IntenseEmphasis"/>
        </w:rPr>
        <w:t>Official OC-10 Authorization List</w:t>
      </w:r>
      <w:r w:rsidRPr="00C53B44">
        <w:rPr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3B44" w:rsidRPr="00C53B44">
        <w:rPr>
          <w:sz w:val="20"/>
          <w:szCs w:val="20"/>
        </w:rPr>
        <w:t>–</w:t>
      </w:r>
      <w:r w:rsidR="00C53B44">
        <w:rPr>
          <w:sz w:val="20"/>
          <w:szCs w:val="20"/>
        </w:rPr>
        <w:t xml:space="preserve"> </w:t>
      </w:r>
      <w:r w:rsidR="00C53B44" w:rsidRPr="00C53B44">
        <w:rPr>
          <w:sz w:val="20"/>
          <w:szCs w:val="20"/>
        </w:rPr>
        <w:t>The</w:t>
      </w:r>
      <w:r w:rsidR="006A690A" w:rsidRPr="00C53B44">
        <w:rPr>
          <w:sz w:val="20"/>
          <w:szCs w:val="20"/>
        </w:rPr>
        <w:t xml:space="preserve"> Official OC-10 Authorization List is a list of individuals, including their titles, w</w:t>
      </w:r>
      <w:r w:rsidR="003548DE" w:rsidRPr="00C53B44">
        <w:rPr>
          <w:sz w:val="20"/>
          <w:szCs w:val="20"/>
        </w:rPr>
        <w:t>ho are authorized to borrow and/</w:t>
      </w:r>
      <w:r w:rsidR="00967F45" w:rsidRPr="00C53B44">
        <w:rPr>
          <w:sz w:val="20"/>
          <w:szCs w:val="20"/>
        </w:rPr>
        <w:t xml:space="preserve">or pledge and or </w:t>
      </w:r>
      <w:r w:rsidR="006A690A" w:rsidRPr="00C53B44">
        <w:rPr>
          <w:sz w:val="20"/>
          <w:szCs w:val="20"/>
        </w:rPr>
        <w:t>withdraw collateral</w:t>
      </w:r>
      <w:r w:rsidR="003548DE" w:rsidRPr="00C53B44">
        <w:rPr>
          <w:sz w:val="20"/>
          <w:szCs w:val="20"/>
        </w:rPr>
        <w:t>,</w:t>
      </w:r>
      <w:r w:rsidR="006A690A" w:rsidRPr="00C53B44">
        <w:rPr>
          <w:sz w:val="20"/>
          <w:szCs w:val="20"/>
        </w:rPr>
        <w:t xml:space="preserve"> as specified in the institution’s Author</w:t>
      </w:r>
      <w:r w:rsidR="00C53B44" w:rsidRPr="00C53B44">
        <w:rPr>
          <w:sz w:val="20"/>
          <w:szCs w:val="20"/>
        </w:rPr>
        <w:t xml:space="preserve">izing Resolution for Borrowers. </w:t>
      </w:r>
      <w:r w:rsidR="006A690A" w:rsidRPr="00C53B44">
        <w:rPr>
          <w:sz w:val="20"/>
          <w:szCs w:val="20"/>
        </w:rPr>
        <w:t>An authorized officer</w:t>
      </w:r>
      <w:r w:rsidR="005D1065">
        <w:rPr>
          <w:sz w:val="20"/>
          <w:szCs w:val="20"/>
        </w:rPr>
        <w:t xml:space="preserve"> is required to sign and</w:t>
      </w:r>
      <w:r w:rsidR="006A690A" w:rsidRPr="00C53B44">
        <w:rPr>
          <w:sz w:val="20"/>
          <w:szCs w:val="20"/>
        </w:rPr>
        <w:t xml:space="preserve"> must be identified by title in paragraph 2 on the Auth</w:t>
      </w:r>
      <w:r w:rsidR="005D1065">
        <w:rPr>
          <w:sz w:val="20"/>
          <w:szCs w:val="20"/>
        </w:rPr>
        <w:t>orizing Resolution for Borrowers</w:t>
      </w:r>
      <w:r w:rsidR="00C341AD">
        <w:rPr>
          <w:sz w:val="20"/>
          <w:szCs w:val="20"/>
        </w:rPr>
        <w:t>.  If the</w:t>
      </w:r>
      <w:r w:rsidR="00C53B44">
        <w:rPr>
          <w:sz w:val="20"/>
          <w:szCs w:val="20"/>
        </w:rPr>
        <w:t xml:space="preserve"> Authorizing Resolution for Borrowers indicates</w:t>
      </w:r>
      <w:r w:rsidR="00C53B44" w:rsidRPr="005D1065">
        <w:rPr>
          <w:i/>
          <w:sz w:val="20"/>
          <w:szCs w:val="20"/>
        </w:rPr>
        <w:t xml:space="preserve"> two</w:t>
      </w:r>
      <w:r w:rsidR="00C53B44">
        <w:rPr>
          <w:sz w:val="20"/>
          <w:szCs w:val="20"/>
        </w:rPr>
        <w:t xml:space="preserve"> officers are required to sign, please complete both sections on form.</w:t>
      </w:r>
    </w:p>
    <w:p w:rsidR="00C53B44" w:rsidRPr="00C53B44" w:rsidRDefault="00C53B44" w:rsidP="00C53B44">
      <w:pPr>
        <w:pStyle w:val="ListParagraph"/>
        <w:ind w:left="360"/>
        <w:jc w:val="both"/>
        <w:rPr>
          <w:sz w:val="20"/>
          <w:szCs w:val="20"/>
        </w:rPr>
      </w:pPr>
    </w:p>
    <w:p w:rsidR="00510AC1" w:rsidRDefault="00510AC1" w:rsidP="00C53B44">
      <w:pPr>
        <w:pStyle w:val="ListParagraph"/>
        <w:ind w:left="360"/>
        <w:jc w:val="both"/>
        <w:rPr>
          <w:sz w:val="20"/>
          <w:szCs w:val="20"/>
        </w:rPr>
      </w:pPr>
      <w:r w:rsidRPr="00C53B44">
        <w:rPr>
          <w:b/>
          <w:sz w:val="20"/>
          <w:szCs w:val="20"/>
        </w:rPr>
        <w:t xml:space="preserve">NOTE: </w:t>
      </w:r>
      <w:r w:rsidRPr="00C53B44">
        <w:rPr>
          <w:sz w:val="20"/>
          <w:szCs w:val="20"/>
        </w:rPr>
        <w:t>If you submit an updated Authorizing Resolution</w:t>
      </w:r>
      <w:r w:rsidR="005744BC" w:rsidRPr="00C53B44">
        <w:rPr>
          <w:sz w:val="20"/>
          <w:szCs w:val="20"/>
        </w:rPr>
        <w:t>s</w:t>
      </w:r>
      <w:r w:rsidRPr="00C53B44">
        <w:rPr>
          <w:sz w:val="20"/>
          <w:szCs w:val="20"/>
        </w:rPr>
        <w:t xml:space="preserve"> for Borrowers and do not also update and submit an </w:t>
      </w:r>
      <w:r w:rsidR="005744BC" w:rsidRPr="00C53B44">
        <w:rPr>
          <w:sz w:val="20"/>
          <w:szCs w:val="20"/>
        </w:rPr>
        <w:t xml:space="preserve">Official OC-10 Authorization List, the current Official OC-10 Authorization List will be superseded and will become obsolete. </w:t>
      </w:r>
    </w:p>
    <w:p w:rsidR="00C53B44" w:rsidRPr="00C53B44" w:rsidRDefault="00C53B44" w:rsidP="00C53B44">
      <w:pPr>
        <w:pStyle w:val="ListParagraph"/>
        <w:ind w:left="360"/>
        <w:jc w:val="both"/>
        <w:rPr>
          <w:sz w:val="20"/>
          <w:szCs w:val="20"/>
        </w:rPr>
      </w:pPr>
    </w:p>
    <w:p w:rsidR="00CC4C12" w:rsidRPr="003F7D65" w:rsidRDefault="00DF0788" w:rsidP="00BA7E5B">
      <w:pPr>
        <w:pStyle w:val="ListParagraph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922B94">
        <w:rPr>
          <w:rStyle w:val="IntenseEmphasis"/>
        </w:rPr>
        <w:t>Correspondent Letter of Agreement</w:t>
      </w:r>
      <w:r w:rsidRPr="003F7D65">
        <w:rPr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7D65">
        <w:rPr>
          <w:sz w:val="20"/>
          <w:szCs w:val="20"/>
        </w:rPr>
        <w:t xml:space="preserve">– </w:t>
      </w:r>
      <w:r w:rsidR="00D3733C" w:rsidRPr="003F7D65">
        <w:rPr>
          <w:sz w:val="20"/>
          <w:szCs w:val="20"/>
        </w:rPr>
        <w:t>The Letter of Agreement to Correspondent Credit and Payment agreement i</w:t>
      </w:r>
      <w:r w:rsidR="00A87F87" w:rsidRPr="003F7D65">
        <w:rPr>
          <w:sz w:val="20"/>
          <w:szCs w:val="20"/>
        </w:rPr>
        <w:t>s only required for institution</w:t>
      </w:r>
      <w:r w:rsidR="003548DE" w:rsidRPr="003F7D65">
        <w:rPr>
          <w:sz w:val="20"/>
          <w:szCs w:val="20"/>
        </w:rPr>
        <w:t>s that choose to route a Discount Window loan through</w:t>
      </w:r>
      <w:r w:rsidR="00D3733C" w:rsidRPr="003F7D65">
        <w:rPr>
          <w:sz w:val="20"/>
          <w:szCs w:val="20"/>
        </w:rPr>
        <w:t xml:space="preserve"> a corresponde</w:t>
      </w:r>
      <w:r w:rsidR="003548DE" w:rsidRPr="003F7D65">
        <w:rPr>
          <w:sz w:val="20"/>
          <w:szCs w:val="20"/>
        </w:rPr>
        <w:t>nt</w:t>
      </w:r>
      <w:r w:rsidR="00D3733C" w:rsidRPr="003F7D65">
        <w:rPr>
          <w:sz w:val="20"/>
          <w:szCs w:val="20"/>
        </w:rPr>
        <w:t xml:space="preserve"> account. If your institution is not an account holder with the Federal Reserve Bank of Philadelphia</w:t>
      </w:r>
      <w:r w:rsidR="003548DE" w:rsidRPr="003F7D65">
        <w:rPr>
          <w:sz w:val="20"/>
          <w:szCs w:val="20"/>
        </w:rPr>
        <w:t>,</w:t>
      </w:r>
      <w:r w:rsidR="00D3733C" w:rsidRPr="003F7D65">
        <w:rPr>
          <w:sz w:val="20"/>
          <w:szCs w:val="20"/>
        </w:rPr>
        <w:t xml:space="preserve"> you must complete this agreement in order to be able to borrow from the Discount Window. </w:t>
      </w:r>
      <w:r w:rsidR="00D3733C" w:rsidRPr="003F7D65">
        <w:rPr>
          <w:i/>
          <w:sz w:val="20"/>
          <w:szCs w:val="20"/>
        </w:rPr>
        <w:t xml:space="preserve"> </w:t>
      </w:r>
    </w:p>
    <w:p w:rsidR="00686B4A" w:rsidRDefault="00686B4A" w:rsidP="00D3733C">
      <w:pPr>
        <w:rPr>
          <w:b/>
          <w:sz w:val="20"/>
          <w:szCs w:val="20"/>
        </w:rPr>
      </w:pPr>
    </w:p>
    <w:p w:rsidR="00F36941" w:rsidRPr="006F3EA6" w:rsidRDefault="00D3733C" w:rsidP="00D3733C">
      <w:pPr>
        <w:rPr>
          <w:szCs w:val="20"/>
        </w:rPr>
      </w:pPr>
      <w:r w:rsidRPr="006F3EA6">
        <w:rPr>
          <w:b/>
          <w:szCs w:val="20"/>
        </w:rPr>
        <w:t>Reminder:</w:t>
      </w:r>
      <w:r w:rsidRPr="006F3EA6">
        <w:rPr>
          <w:i/>
          <w:szCs w:val="20"/>
        </w:rPr>
        <w:t xml:space="preserve"> </w:t>
      </w:r>
      <w:r w:rsidRPr="006F3EA6">
        <w:rPr>
          <w:szCs w:val="20"/>
        </w:rPr>
        <w:t>All original</w:t>
      </w:r>
      <w:r w:rsidR="00CC4C12" w:rsidRPr="006F3EA6">
        <w:rPr>
          <w:szCs w:val="20"/>
        </w:rPr>
        <w:t xml:space="preserve"> signed</w:t>
      </w:r>
      <w:r w:rsidRPr="006F3EA6">
        <w:rPr>
          <w:szCs w:val="20"/>
        </w:rPr>
        <w:t xml:space="preserve"> copies of borrowi</w:t>
      </w:r>
      <w:r w:rsidR="00967F45" w:rsidRPr="006F3EA6">
        <w:rPr>
          <w:szCs w:val="20"/>
        </w:rPr>
        <w:t>ng documentation are</w:t>
      </w:r>
      <w:r w:rsidR="00F36941" w:rsidRPr="006F3EA6">
        <w:rPr>
          <w:szCs w:val="20"/>
        </w:rPr>
        <w:t xml:space="preserve"> required.</w:t>
      </w:r>
    </w:p>
    <w:p w:rsidR="00CC4C12" w:rsidRPr="006F3EA6" w:rsidRDefault="00F36941" w:rsidP="00CC4C12">
      <w:pPr>
        <w:spacing w:line="240" w:lineRule="auto"/>
        <w:rPr>
          <w:szCs w:val="20"/>
        </w:rPr>
      </w:pPr>
      <w:r w:rsidRPr="006F3EA6">
        <w:rPr>
          <w:szCs w:val="20"/>
        </w:rPr>
        <w:t xml:space="preserve">Please </w:t>
      </w:r>
      <w:r w:rsidR="00D3733C" w:rsidRPr="006F3EA6">
        <w:rPr>
          <w:szCs w:val="20"/>
        </w:rPr>
        <w:t xml:space="preserve">mail all original documentation to: </w:t>
      </w:r>
    </w:p>
    <w:p w:rsidR="00CC4C12" w:rsidRPr="006F3EA6" w:rsidRDefault="00CC4C12" w:rsidP="00CC4C12">
      <w:pPr>
        <w:spacing w:line="240" w:lineRule="auto"/>
        <w:rPr>
          <w:szCs w:val="20"/>
        </w:rPr>
      </w:pPr>
      <w:r w:rsidRPr="006F3EA6">
        <w:rPr>
          <w:szCs w:val="20"/>
        </w:rPr>
        <w:t>Credit Risk Management Division, 7</w:t>
      </w:r>
      <w:r w:rsidRPr="006F3EA6">
        <w:rPr>
          <w:szCs w:val="20"/>
          <w:vertAlign w:val="superscript"/>
        </w:rPr>
        <w:t>th</w:t>
      </w:r>
      <w:r w:rsidRPr="006F3EA6">
        <w:rPr>
          <w:szCs w:val="20"/>
        </w:rPr>
        <w:t xml:space="preserve"> Floor </w:t>
      </w:r>
      <w:r w:rsidR="00967F45" w:rsidRPr="006F3EA6">
        <w:rPr>
          <w:szCs w:val="20"/>
        </w:rPr>
        <w:t>NW</w:t>
      </w:r>
    </w:p>
    <w:p w:rsidR="00D3733C" w:rsidRPr="006F3EA6" w:rsidRDefault="00CC4C12" w:rsidP="00CC4C12">
      <w:pPr>
        <w:spacing w:line="240" w:lineRule="auto"/>
        <w:rPr>
          <w:szCs w:val="20"/>
        </w:rPr>
      </w:pPr>
      <w:r w:rsidRPr="006F3EA6">
        <w:rPr>
          <w:szCs w:val="20"/>
        </w:rPr>
        <w:t xml:space="preserve">Federal Reserve Bank of Philadelphia </w:t>
      </w:r>
    </w:p>
    <w:p w:rsidR="00CC4C12" w:rsidRPr="006F3EA6" w:rsidRDefault="00CC4C12" w:rsidP="00CC4C12">
      <w:pPr>
        <w:spacing w:line="240" w:lineRule="auto"/>
        <w:rPr>
          <w:szCs w:val="20"/>
        </w:rPr>
      </w:pPr>
      <w:r w:rsidRPr="006F3EA6">
        <w:rPr>
          <w:szCs w:val="20"/>
        </w:rPr>
        <w:t>Ten Independence Mall</w:t>
      </w:r>
    </w:p>
    <w:p w:rsidR="006F3EA6" w:rsidRPr="000D3804" w:rsidRDefault="00CC4C12" w:rsidP="000D3804">
      <w:pPr>
        <w:spacing w:line="240" w:lineRule="auto"/>
        <w:rPr>
          <w:rStyle w:val="title21"/>
          <w:b w:val="0"/>
          <w:bCs w:val="0"/>
          <w:sz w:val="20"/>
          <w:szCs w:val="20"/>
        </w:rPr>
      </w:pPr>
      <w:r w:rsidRPr="006F3EA6">
        <w:rPr>
          <w:szCs w:val="20"/>
        </w:rPr>
        <w:t>Philadelphia, PA 19106-1574</w:t>
      </w:r>
      <w:r w:rsidR="00D3733C" w:rsidRPr="00CC4C12">
        <w:rPr>
          <w:sz w:val="20"/>
          <w:szCs w:val="20"/>
        </w:rPr>
        <w:tab/>
      </w:r>
      <w:r w:rsidR="00D3733C" w:rsidRPr="00CC4C12">
        <w:rPr>
          <w:sz w:val="20"/>
          <w:szCs w:val="20"/>
        </w:rPr>
        <w:tab/>
      </w:r>
      <w:r w:rsidR="00D3733C" w:rsidRPr="00CC4C12">
        <w:rPr>
          <w:sz w:val="20"/>
          <w:szCs w:val="20"/>
        </w:rPr>
        <w:tab/>
      </w:r>
      <w:r w:rsidR="00D3733C" w:rsidRPr="00CC4C12">
        <w:rPr>
          <w:sz w:val="20"/>
          <w:szCs w:val="20"/>
        </w:rPr>
        <w:tab/>
      </w:r>
      <w:r w:rsidR="00D3733C" w:rsidRPr="00CC4C12">
        <w:rPr>
          <w:sz w:val="20"/>
          <w:szCs w:val="20"/>
        </w:rPr>
        <w:tab/>
      </w:r>
      <w:r w:rsidR="00D3733C" w:rsidRPr="00CC4C12">
        <w:rPr>
          <w:sz w:val="20"/>
          <w:szCs w:val="20"/>
        </w:rPr>
        <w:tab/>
      </w:r>
    </w:p>
    <w:sectPr w:rsidR="006F3EA6" w:rsidRPr="000D3804" w:rsidSect="0013465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DB" w:rsidRDefault="005B7EDB" w:rsidP="0013465D">
      <w:pPr>
        <w:spacing w:after="0" w:line="240" w:lineRule="auto"/>
      </w:pPr>
      <w:r>
        <w:separator/>
      </w:r>
    </w:p>
  </w:endnote>
  <w:endnote w:type="continuationSeparator" w:id="0">
    <w:p w:rsidR="005B7EDB" w:rsidRDefault="005B7EDB" w:rsidP="0013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5D" w:rsidRDefault="0013465D">
    <w:pPr>
      <w:pStyle w:val="Footer"/>
    </w:pPr>
  </w:p>
  <w:p w:rsidR="0013465D" w:rsidRDefault="0013465D" w:rsidP="001346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DB" w:rsidRDefault="005B7EDB" w:rsidP="0013465D">
      <w:pPr>
        <w:spacing w:after="0" w:line="240" w:lineRule="auto"/>
      </w:pPr>
      <w:r>
        <w:separator/>
      </w:r>
    </w:p>
  </w:footnote>
  <w:footnote w:type="continuationSeparator" w:id="0">
    <w:p w:rsidR="005B7EDB" w:rsidRDefault="005B7EDB" w:rsidP="0013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5D" w:rsidRDefault="0013465D" w:rsidP="0013465D">
    <w:pPr>
      <w:pStyle w:val="Header"/>
      <w:jc w:val="center"/>
      <w:rPr>
        <w:rFonts w:ascii="Calibri" w:hAnsi="Calibri" w:cs="Calibri"/>
        <w:color w:val="000000"/>
      </w:rPr>
    </w:pPr>
  </w:p>
  <w:p w:rsidR="0013465D" w:rsidRPr="0013465D" w:rsidRDefault="0013465D">
    <w:pPr>
      <w:pStyle w:val="Header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049C"/>
    <w:multiLevelType w:val="hybridMultilevel"/>
    <w:tmpl w:val="122211A8"/>
    <w:lvl w:ilvl="0" w:tplc="BAA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DB"/>
    <w:rsid w:val="00024C19"/>
    <w:rsid w:val="00043CA7"/>
    <w:rsid w:val="00082698"/>
    <w:rsid w:val="00095031"/>
    <w:rsid w:val="000D3804"/>
    <w:rsid w:val="001205C0"/>
    <w:rsid w:val="0013465D"/>
    <w:rsid w:val="001575DF"/>
    <w:rsid w:val="0018478A"/>
    <w:rsid w:val="002F29D1"/>
    <w:rsid w:val="002F7B7D"/>
    <w:rsid w:val="0034363E"/>
    <w:rsid w:val="003548DE"/>
    <w:rsid w:val="00357CF9"/>
    <w:rsid w:val="00373333"/>
    <w:rsid w:val="003B1B88"/>
    <w:rsid w:val="003B2447"/>
    <w:rsid w:val="003C767E"/>
    <w:rsid w:val="003E3434"/>
    <w:rsid w:val="003F7D65"/>
    <w:rsid w:val="00510AC1"/>
    <w:rsid w:val="00512483"/>
    <w:rsid w:val="005451E4"/>
    <w:rsid w:val="005744BC"/>
    <w:rsid w:val="005B7EDB"/>
    <w:rsid w:val="005D1065"/>
    <w:rsid w:val="00656530"/>
    <w:rsid w:val="00686B4A"/>
    <w:rsid w:val="006A5F96"/>
    <w:rsid w:val="006A690A"/>
    <w:rsid w:val="006F3EA6"/>
    <w:rsid w:val="007959BF"/>
    <w:rsid w:val="0084655A"/>
    <w:rsid w:val="0086713D"/>
    <w:rsid w:val="008769A2"/>
    <w:rsid w:val="008A148C"/>
    <w:rsid w:val="008B53A8"/>
    <w:rsid w:val="008E0F49"/>
    <w:rsid w:val="00922B94"/>
    <w:rsid w:val="00946EF2"/>
    <w:rsid w:val="00967F45"/>
    <w:rsid w:val="009E5575"/>
    <w:rsid w:val="00A30642"/>
    <w:rsid w:val="00A87F87"/>
    <w:rsid w:val="00B4239D"/>
    <w:rsid w:val="00B71CCB"/>
    <w:rsid w:val="00C341AD"/>
    <w:rsid w:val="00C3602E"/>
    <w:rsid w:val="00C53B44"/>
    <w:rsid w:val="00CC4C12"/>
    <w:rsid w:val="00D3733C"/>
    <w:rsid w:val="00DF0788"/>
    <w:rsid w:val="00EF0974"/>
    <w:rsid w:val="00F36941"/>
    <w:rsid w:val="00F75A5D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568D-37D7-4196-A531-533E7418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5D"/>
  </w:style>
  <w:style w:type="paragraph" w:styleId="Footer">
    <w:name w:val="footer"/>
    <w:basedOn w:val="Normal"/>
    <w:link w:val="FooterChar"/>
    <w:uiPriority w:val="99"/>
    <w:unhideWhenUsed/>
    <w:rsid w:val="0013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5D"/>
  </w:style>
  <w:style w:type="character" w:styleId="Hyperlink">
    <w:name w:val="Hyperlink"/>
    <w:basedOn w:val="DefaultParagraphFont"/>
    <w:uiPriority w:val="99"/>
    <w:unhideWhenUsed/>
    <w:rsid w:val="003E34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E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7B7D"/>
    <w:rPr>
      <w:color w:val="954F72" w:themeColor="followedHyperlink"/>
      <w:u w:val="single"/>
    </w:rPr>
  </w:style>
  <w:style w:type="character" w:customStyle="1" w:styleId="title21">
    <w:name w:val="title21"/>
    <w:basedOn w:val="DefaultParagraphFont"/>
    <w:rsid w:val="00CC4C1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22B94"/>
    <w:rPr>
      <w:i/>
      <w:iCs/>
      <w:color w:val="5B9BD5" w:themeColor="accent1"/>
    </w:rPr>
  </w:style>
  <w:style w:type="character" w:customStyle="1" w:styleId="body">
    <w:name w:val="body"/>
    <w:basedOn w:val="DefaultParagraphFont"/>
    <w:rsid w:val="00A8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bdiscountwindo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5850-1927-4A9C-9EE9-570C3C2B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Guide FRB philadelphia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Guide FRB philadelphia</dc:title>
  <dc:subject>Completing OC10 documentation</dc:subject>
  <dc:creator>03 Philadelphia</dc:creator>
  <cp:keywords/>
  <dc:description>OC10, documentation, </dc:description>
  <cp:lastModifiedBy>Janik, MaryJo</cp:lastModifiedBy>
  <cp:revision>7</cp:revision>
  <dcterms:created xsi:type="dcterms:W3CDTF">2019-07-29T21:19:00Z</dcterms:created>
  <dcterms:modified xsi:type="dcterms:W3CDTF">2019-08-02T14:51:00Z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4d284eb8-95d1-48b8-8631-98e00d447e6a</vt:lpwstr>
  </property>
</Properties>
</file>